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tbl>
      <w:tblPr>
        <w:tblStyle w:val="Tablaconcuadrcula"/>
        <w:tblpPr w:leftFromText="141" w:rightFromText="141" w:vertAnchor="text" w:horzAnchor="page" w:tblpX="9129" w:tblpY="766"/>
        <w:tblOverlap w:val="never"/>
        <w:tblW w:w="2029" w:type="dxa"/>
        <w:tblLayout w:type="fixed"/>
        <w:tblLook w:val="04A0" w:firstRow="1" w:lastRow="0" w:firstColumn="1" w:lastColumn="0" w:noHBand="0" w:noVBand="1"/>
      </w:tblPr>
      <w:tblGrid>
        <w:gridCol w:w="2029"/>
      </w:tblGrid>
      <w:tr w:rsidR="00736A43" w:rsidTr="00AD3E04">
        <w:trPr>
          <w:trHeight w:val="1695"/>
        </w:trPr>
        <w:tc>
          <w:tcPr>
            <w:tcW w:w="2029" w:type="dxa"/>
          </w:tcPr>
          <w:p w:rsidR="00736A43" w:rsidRPr="00736A43" w:rsidRDefault="00736A43" w:rsidP="00AD3E04">
            <w:pPr>
              <w:pStyle w:val="Puesto"/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inline distT="0" distB="0" distL="0" distR="0" wp14:anchorId="37258E62" wp14:editId="36D40D02">
                  <wp:extent cx="1233805" cy="1143000"/>
                  <wp:effectExtent l="0" t="0" r="4445" b="0"/>
                  <wp:docPr id="3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0003E38A" wp14:editId="303CE87F">
                  <wp:extent cx="1233805" cy="1162050"/>
                  <wp:effectExtent l="0" t="0" r="4445" b="0"/>
                  <wp:docPr id="2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A43" w:rsidTr="00AD3E04">
        <w:trPr>
          <w:trHeight w:val="1518"/>
        </w:trPr>
        <w:tc>
          <w:tcPr>
            <w:tcW w:w="2029" w:type="dxa"/>
          </w:tcPr>
          <w:p w:rsidR="00736A43" w:rsidRDefault="00736A43" w:rsidP="00AD3E04">
            <w:r>
              <w:rPr>
                <w:noProof/>
                <w:lang w:val="es-CO" w:eastAsia="es-CO"/>
              </w:rPr>
              <w:drawing>
                <wp:inline distT="0" distB="0" distL="0" distR="0" wp14:anchorId="667019C5" wp14:editId="7599951C">
                  <wp:extent cx="1233805" cy="971550"/>
                  <wp:effectExtent l="0" t="0" r="4445" b="0"/>
                  <wp:docPr id="5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Image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20" cy="97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A43" w:rsidTr="00AD3E04">
        <w:trPr>
          <w:trHeight w:val="1604"/>
        </w:trPr>
        <w:tc>
          <w:tcPr>
            <w:tcW w:w="2029" w:type="dxa"/>
          </w:tcPr>
          <w:p w:rsidR="00736A43" w:rsidRDefault="00736A43" w:rsidP="00AD3E04">
            <w:r>
              <w:rPr>
                <w:noProof/>
                <w:lang w:val="es-CO" w:eastAsia="es-CO"/>
              </w:rPr>
              <w:drawing>
                <wp:inline distT="0" distB="0" distL="0" distR="0" wp14:anchorId="7F514D31" wp14:editId="6D0B4011">
                  <wp:extent cx="1233805" cy="1057275"/>
                  <wp:effectExtent l="0" t="0" r="4445" b="9525"/>
                  <wp:docPr id="1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A43" w:rsidTr="00AD3E04">
        <w:trPr>
          <w:trHeight w:val="1695"/>
        </w:trPr>
        <w:tc>
          <w:tcPr>
            <w:tcW w:w="2029" w:type="dxa"/>
          </w:tcPr>
          <w:p w:rsidR="00736A43" w:rsidRDefault="00736A43" w:rsidP="00AD3E04">
            <w:r>
              <w:rPr>
                <w:noProof/>
                <w:lang w:val="es-CO" w:eastAsia="es-CO"/>
              </w:rPr>
              <w:drawing>
                <wp:inline distT="0" distB="0" distL="0" distR="0" wp14:anchorId="236C148F" wp14:editId="045D7038">
                  <wp:extent cx="1233805" cy="1076325"/>
                  <wp:effectExtent l="0" t="0" r="4445" b="9525"/>
                  <wp:docPr id="4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 Image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A43" w:rsidTr="00AD3E04">
        <w:trPr>
          <w:trHeight w:val="1533"/>
        </w:trPr>
        <w:tc>
          <w:tcPr>
            <w:tcW w:w="2029" w:type="dxa"/>
          </w:tcPr>
          <w:p w:rsidR="00736A43" w:rsidRDefault="00AD3E04" w:rsidP="00AD3E04">
            <w:r w:rsidRPr="00AD3E04">
              <w:rPr>
                <w:noProof/>
                <w:lang w:val="es-CO" w:eastAsia="es-CO"/>
              </w:rPr>
              <w:drawing>
                <wp:inline distT="0" distB="0" distL="0" distR="0">
                  <wp:extent cx="1233805" cy="1000125"/>
                  <wp:effectExtent l="0" t="0" r="4445" b="9525"/>
                  <wp:docPr id="7" name="Imagen 7" descr="F:\fotos mocagua\quebrada mata mata\14095804_674115616071459_34605962605476843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tos mocagua\quebrada mata mata\14095804_674115616071459_346059626054768431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57065" cy="101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A09" w:rsidRDefault="00B40A09" w:rsidP="00B40A09">
      <w:pPr>
        <w:pStyle w:val="Sinespaciado"/>
        <w:jc w:val="both"/>
        <w:rPr>
          <w:rFonts w:cstheme="minorHAnsi"/>
          <w:b/>
        </w:rPr>
      </w:pPr>
    </w:p>
    <w:p w:rsidR="007902A1" w:rsidRDefault="007902A1" w:rsidP="00B40A09">
      <w:pPr>
        <w:pStyle w:val="Sinespaciado"/>
        <w:jc w:val="both"/>
        <w:rPr>
          <w:rFonts w:cstheme="minorHAnsi"/>
          <w:b/>
        </w:rPr>
      </w:pPr>
    </w:p>
    <w:p w:rsidR="00B40A09" w:rsidRDefault="00B40A09" w:rsidP="00B40A09">
      <w:pPr>
        <w:pStyle w:val="Sinespaciado"/>
        <w:jc w:val="both"/>
        <w:rPr>
          <w:rFonts w:cstheme="minorHAnsi"/>
          <w:b/>
        </w:rPr>
      </w:pPr>
      <w:r>
        <w:rPr>
          <w:rFonts w:cstheme="minorHAnsi"/>
          <w:b/>
        </w:rPr>
        <w:t>Ubicación:</w:t>
      </w:r>
      <w:r>
        <w:rPr>
          <w:rFonts w:cstheme="minorHAnsi"/>
        </w:rPr>
        <w:t xml:space="preserve"> 65 Km. Rio Amazonas</w:t>
      </w:r>
    </w:p>
    <w:p w:rsidR="00B40A09" w:rsidRDefault="00B40A09" w:rsidP="00B40A09"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>Destino: C</w:t>
      </w:r>
      <w:r>
        <w:rPr>
          <w:rFonts w:cstheme="minorHAnsi"/>
        </w:rPr>
        <w:t>omunidad Mocagua</w:t>
      </w:r>
    </w:p>
    <w:p w:rsidR="00B40A09" w:rsidRDefault="00B40A09" w:rsidP="00B40A09"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 xml:space="preserve">Salidas: </w:t>
      </w:r>
      <w:r w:rsidR="00945F83">
        <w:rPr>
          <w:rFonts w:cstheme="minorHAnsi"/>
        </w:rPr>
        <w:t>9:00</w:t>
      </w:r>
      <w:r>
        <w:rPr>
          <w:rFonts w:cstheme="minorHAnsi"/>
        </w:rPr>
        <w:t xml:space="preserve"> AM – 3:30PM lancha rápida</w:t>
      </w:r>
    </w:p>
    <w:p w:rsidR="007902A1" w:rsidRDefault="007902A1" w:rsidP="00B40A09">
      <w:pPr>
        <w:pStyle w:val="Sinespaciado"/>
        <w:jc w:val="both"/>
        <w:rPr>
          <w:rFonts w:cstheme="minorHAnsi"/>
        </w:rPr>
      </w:pPr>
    </w:p>
    <w:p w:rsidR="00B40A09" w:rsidRDefault="00B40A09" w:rsidP="00B40A09">
      <w:pPr>
        <w:pStyle w:val="Sinespaciado"/>
        <w:jc w:val="both"/>
        <w:rPr>
          <w:rFonts w:cstheme="minorHAnsi"/>
        </w:rPr>
      </w:pPr>
    </w:p>
    <w:p w:rsidR="00B40A09" w:rsidRDefault="00B40A09" w:rsidP="00B40A09">
      <w:pPr>
        <w:pStyle w:val="Sinespaciado"/>
        <w:jc w:val="both"/>
        <w:rPr>
          <w:rFonts w:ascii="Broadway" w:hAnsi="Broadway" w:cstheme="minorHAnsi"/>
          <w:b/>
        </w:rPr>
      </w:pPr>
      <w:r>
        <w:rPr>
          <w:rFonts w:ascii="Broadway" w:hAnsi="Broadway" w:cstheme="minorHAnsi"/>
          <w:b/>
        </w:rPr>
        <w:t>DESCRIPCION DEL PROGRAMA</w:t>
      </w:r>
    </w:p>
    <w:p w:rsidR="00B40A09" w:rsidRDefault="00B40A09" w:rsidP="00B40A09">
      <w:pPr>
        <w:pStyle w:val="Sinespaciado"/>
        <w:jc w:val="both"/>
        <w:rPr>
          <w:rFonts w:ascii="Broadway" w:hAnsi="Broadway" w:cstheme="minorHAnsi"/>
          <w:b/>
        </w:rPr>
      </w:pPr>
    </w:p>
    <w:p w:rsidR="00B40A09" w:rsidRDefault="00B40A09" w:rsidP="00B40A09">
      <w:pPr>
        <w:pStyle w:val="Sinespaciado"/>
        <w:jc w:val="both"/>
        <w:rPr>
          <w:rFonts w:cstheme="minorHAnsi"/>
          <w:b/>
        </w:rPr>
      </w:pPr>
    </w:p>
    <w:p w:rsidR="00B40A09" w:rsidRDefault="00B40A09" w:rsidP="00B40A09">
      <w:pPr>
        <w:pStyle w:val="Sinespaciado"/>
        <w:jc w:val="center"/>
        <w:rPr>
          <w:rFonts w:cstheme="minorHAnsi"/>
          <w:b/>
        </w:rPr>
      </w:pPr>
      <w:r w:rsidRPr="00B40A09">
        <w:rPr>
          <w:rFonts w:cstheme="minorHAnsi"/>
          <w:b/>
        </w:rPr>
        <w:t>Comunidad y Biodiversidad</w:t>
      </w:r>
    </w:p>
    <w:p w:rsidR="00B40A09" w:rsidRPr="00B40A09" w:rsidRDefault="00B40A09" w:rsidP="00B40A09">
      <w:pPr>
        <w:pStyle w:val="Sinespaciado"/>
        <w:jc w:val="center"/>
        <w:rPr>
          <w:rFonts w:cstheme="minorHAnsi"/>
          <w:b/>
        </w:rPr>
      </w:pPr>
    </w:p>
    <w:p w:rsidR="00B40A09" w:rsidRPr="00B40A09" w:rsidRDefault="00972E27" w:rsidP="00B40A09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Salida en lancha rápida 9:00</w:t>
      </w:r>
      <w:r w:rsidR="00B40A09" w:rsidRPr="00B40A09">
        <w:rPr>
          <w:rFonts w:cstheme="minorHAnsi"/>
        </w:rPr>
        <w:t xml:space="preserve"> am puerto de Leticia con destino a la comunidad de Mocagua en lancha compartida, luego de navegar a 1:30 minutos nos recibe Jhony del Aguila, persona indicada en atendernos darnos la charla de bienvenida y de las actividades a desarrollar dentro de la misma. </w:t>
      </w:r>
    </w:p>
    <w:p w:rsidR="00B40A09" w:rsidRDefault="00B40A09" w:rsidP="00B40A09">
      <w:pPr>
        <w:pStyle w:val="Sinespaciado"/>
        <w:jc w:val="both"/>
        <w:rPr>
          <w:rFonts w:cstheme="minorHAnsi"/>
          <w:b/>
        </w:rPr>
      </w:pPr>
    </w:p>
    <w:p w:rsidR="00B40A09" w:rsidRDefault="00B40A09" w:rsidP="00B40A09">
      <w:pPr>
        <w:pStyle w:val="Sinespaciado"/>
        <w:jc w:val="both"/>
        <w:rPr>
          <w:rFonts w:cstheme="minorHAnsi"/>
          <w:b/>
        </w:rPr>
      </w:pPr>
      <w:r>
        <w:rPr>
          <w:rFonts w:cstheme="minorHAnsi"/>
          <w:b/>
        </w:rPr>
        <w:t>Actividades a desarrollar.</w:t>
      </w:r>
    </w:p>
    <w:p w:rsidR="00B40A09" w:rsidRDefault="00B40A09" w:rsidP="00B40A09">
      <w:pPr>
        <w:pStyle w:val="Sinespaciado"/>
        <w:jc w:val="both"/>
        <w:rPr>
          <w:rFonts w:cstheme="minorHAnsi"/>
          <w:b/>
        </w:rPr>
      </w:pPr>
    </w:p>
    <w:p w:rsidR="00B40A09" w:rsidRPr="00B40A09" w:rsidRDefault="00B40A09" w:rsidP="00B40A0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B40A09">
        <w:rPr>
          <w:rFonts w:cstheme="minorHAnsi"/>
        </w:rPr>
        <w:t>Interpretación de las casa pintadas por la comunidad</w:t>
      </w:r>
    </w:p>
    <w:p w:rsidR="00B40A09" w:rsidRPr="00B40A09" w:rsidRDefault="006A2C1B" w:rsidP="00B40A0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Sendero de selva Casa de</w:t>
      </w:r>
      <w:r w:rsidR="00B40A09" w:rsidRPr="00B40A09">
        <w:rPr>
          <w:rFonts w:cstheme="minorHAnsi"/>
        </w:rPr>
        <w:t xml:space="preserve"> Monos</w:t>
      </w:r>
      <w:r>
        <w:rPr>
          <w:rFonts w:cstheme="minorHAnsi"/>
        </w:rPr>
        <w:t>,</w:t>
      </w:r>
      <w:r w:rsidR="00B40A09" w:rsidRPr="00B40A09">
        <w:rPr>
          <w:rFonts w:cstheme="minorHAnsi"/>
        </w:rPr>
        <w:t xml:space="preserve"> Maikuchiga traduce historia de Mono.</w:t>
      </w:r>
    </w:p>
    <w:p w:rsidR="00B40A09" w:rsidRPr="00B40A09" w:rsidRDefault="00B40A09" w:rsidP="00B40A0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B40A09">
        <w:rPr>
          <w:rFonts w:cstheme="minorHAnsi"/>
        </w:rPr>
        <w:t>Avistamiento de la Flor de Loto</w:t>
      </w:r>
    </w:p>
    <w:p w:rsidR="00B40A09" w:rsidRPr="00B40A09" w:rsidRDefault="00B40A09" w:rsidP="00B40A0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B40A09">
        <w:rPr>
          <w:rFonts w:cstheme="minorHAnsi"/>
        </w:rPr>
        <w:t>Gastronomía Local</w:t>
      </w:r>
    </w:p>
    <w:p w:rsidR="00B40A09" w:rsidRPr="00B40A09" w:rsidRDefault="00B40A09" w:rsidP="00B40A0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B40A09">
        <w:rPr>
          <w:rFonts w:cstheme="minorHAnsi"/>
        </w:rPr>
        <w:t>Acompañamiento  guía local</w:t>
      </w:r>
    </w:p>
    <w:p w:rsidR="00B40A09" w:rsidRDefault="00B40A09" w:rsidP="00B40A0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B40A09">
        <w:rPr>
          <w:rFonts w:cstheme="minorHAnsi"/>
        </w:rPr>
        <w:t>Hidratación durante la actividad.</w:t>
      </w:r>
    </w:p>
    <w:p w:rsidR="00D36129" w:rsidRDefault="00060DAA" w:rsidP="00B40A0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Transporte fluvial incluido</w:t>
      </w:r>
    </w:p>
    <w:p w:rsidR="00060DAA" w:rsidRPr="00B40A09" w:rsidRDefault="00060DAA" w:rsidP="00B40A0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Posibilidad de hacer avistamiento delfines.</w:t>
      </w:r>
    </w:p>
    <w:p w:rsidR="00B40A09" w:rsidRDefault="00B40A09"/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276"/>
        <w:gridCol w:w="1668"/>
      </w:tblGrid>
      <w:tr w:rsidR="00506993" w:rsidTr="004B49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3" w:rsidRDefault="00506993" w:rsidP="0050699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PAX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93" w:rsidRDefault="00506993" w:rsidP="0050699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2 PAX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3" w:rsidRDefault="00506993" w:rsidP="0050699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PAX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93" w:rsidRDefault="00506993" w:rsidP="00506993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4 PAX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3" w:rsidRDefault="00506993" w:rsidP="000B0150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PAX</w:t>
            </w:r>
          </w:p>
        </w:tc>
      </w:tr>
      <w:tr w:rsidR="00506993" w:rsidTr="004B49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3" w:rsidRDefault="00506993" w:rsidP="0050699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$ 210.000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3" w:rsidRDefault="00506993" w:rsidP="0050699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$ 156.000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3" w:rsidRDefault="000B0150" w:rsidP="0050699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$ 13</w:t>
            </w:r>
            <w:r w:rsidR="00506993">
              <w:rPr>
                <w:rFonts w:cstheme="minorHAnsi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3" w:rsidRDefault="00506993" w:rsidP="0050699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0B0150">
              <w:rPr>
                <w:rFonts w:cstheme="minorHAnsi"/>
              </w:rPr>
              <w:t>126.000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3" w:rsidRDefault="00506993" w:rsidP="0050699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$115.000</w:t>
            </w:r>
          </w:p>
        </w:tc>
      </w:tr>
    </w:tbl>
    <w:p w:rsidR="00D36129" w:rsidRDefault="00D36129"/>
    <w:p w:rsidR="00D36129" w:rsidRPr="00D36129" w:rsidRDefault="00D36129" w:rsidP="00D36129"/>
    <w:p w:rsidR="00D36129" w:rsidRDefault="00D36129" w:rsidP="00D36129">
      <w:pPr>
        <w:pStyle w:val="Sinespaciado"/>
        <w:jc w:val="both"/>
        <w:rPr>
          <w:rFonts w:cstheme="minorHAnsi"/>
        </w:rPr>
      </w:pPr>
      <w:r w:rsidRPr="00D36129">
        <w:rPr>
          <w:rFonts w:cstheme="minorHAnsi"/>
          <w:b/>
        </w:rPr>
        <w:t>Recomendaciones;</w:t>
      </w:r>
      <w:r w:rsidR="00682B0D">
        <w:rPr>
          <w:rFonts w:cstheme="minorHAnsi"/>
        </w:rPr>
        <w:t xml:space="preserve"> </w:t>
      </w:r>
      <w:r>
        <w:rPr>
          <w:rFonts w:cstheme="minorHAnsi"/>
        </w:rPr>
        <w:t>Para la actividad n</w:t>
      </w:r>
      <w:r w:rsidR="00CF5D02">
        <w:rPr>
          <w:rFonts w:cstheme="minorHAnsi"/>
        </w:rPr>
        <w:t>o olvides llevar botas pantanera</w:t>
      </w:r>
      <w:r>
        <w:rPr>
          <w:rFonts w:cstheme="minorHAnsi"/>
        </w:rPr>
        <w:t>s, ropa de cambio, r</w:t>
      </w:r>
      <w:r w:rsidR="00682B0D">
        <w:rPr>
          <w:rFonts w:cstheme="minorHAnsi"/>
        </w:rPr>
        <w:t xml:space="preserve">epelente, gafas negras, gorra, manga larga, jeans, </w:t>
      </w:r>
      <w:r>
        <w:rPr>
          <w:rFonts w:cstheme="minorHAnsi"/>
        </w:rPr>
        <w:t>dinero en efectivo ojala sencillos, contamos con todo un personal calificado para que tengas una de tus mejores experiencia</w:t>
      </w:r>
      <w:r w:rsidR="00CF5D02">
        <w:rPr>
          <w:rFonts w:cstheme="minorHAnsi"/>
        </w:rPr>
        <w:t>s</w:t>
      </w:r>
      <w:r>
        <w:rPr>
          <w:rFonts w:cstheme="minorHAnsi"/>
        </w:rPr>
        <w:t xml:space="preserve"> en nuestro destino.</w:t>
      </w:r>
      <w:r w:rsidR="007902A1">
        <w:rPr>
          <w:rFonts w:cstheme="minorHAnsi"/>
        </w:rPr>
        <w:t xml:space="preserve"> Posibilidad de ver delfines.</w:t>
      </w:r>
    </w:p>
    <w:p w:rsidR="00D36129" w:rsidRDefault="00D36129"/>
    <w:p w:rsidR="00245257" w:rsidRDefault="00736A43" w:rsidP="006767BE">
      <w:pPr>
        <w:pStyle w:val="Sinespaciado"/>
        <w:jc w:val="right"/>
        <w:rPr>
          <w:rFonts w:ascii="Calibri" w:eastAsia="Calibri" w:hAnsi="Calibri" w:cs="Times New Roman"/>
        </w:rPr>
      </w:pPr>
      <w:r>
        <w:br w:type="textWrapping" w:clear="all"/>
      </w:r>
    </w:p>
    <w:p w:rsidR="00D36129" w:rsidRPr="00D36129" w:rsidRDefault="00D36129" w:rsidP="00245257">
      <w:pPr>
        <w:pStyle w:val="Sinespaciado"/>
        <w:jc w:val="center"/>
        <w:rPr>
          <w:rFonts w:ascii="Calibri" w:eastAsia="Calibri" w:hAnsi="Calibri" w:cs="Times New Roman"/>
          <w:b/>
        </w:rPr>
      </w:pPr>
      <w:r w:rsidRPr="00D36129">
        <w:rPr>
          <w:rFonts w:ascii="Calibri" w:eastAsia="Calibri" w:hAnsi="Calibri" w:cs="Times New Roman"/>
          <w:b/>
        </w:rPr>
        <w:t>JHONY DEL AGUILA</w:t>
      </w:r>
    </w:p>
    <w:p w:rsidR="00245257" w:rsidRDefault="00D36129" w:rsidP="0024525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D36129">
        <w:rPr>
          <w:rFonts w:ascii="Calibri" w:eastAsia="Calibri" w:hAnsi="Calibri" w:cs="Times New Roman"/>
          <w:b/>
        </w:rPr>
        <w:t>ASESOR COMERCIAL</w:t>
      </w:r>
    </w:p>
    <w:p w:rsidR="00D36129" w:rsidRPr="00D36129" w:rsidRDefault="00245257" w:rsidP="0024525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COMUNIDAD</w:t>
      </w:r>
      <w:r w:rsidR="00D36129" w:rsidRPr="00D36129">
        <w:rPr>
          <w:rFonts w:ascii="Calibri" w:eastAsia="Calibri" w:hAnsi="Calibri" w:cs="Times New Roman"/>
          <w:b/>
        </w:rPr>
        <w:t xml:space="preserve"> MOCAGUA</w:t>
      </w:r>
    </w:p>
    <w:p w:rsidR="00D36129" w:rsidRPr="00D36129" w:rsidRDefault="00237A64" w:rsidP="0024525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CL: </w:t>
      </w:r>
      <w:r w:rsidR="00D36129">
        <w:rPr>
          <w:rFonts w:ascii="Calibri" w:eastAsia="Calibri" w:hAnsi="Calibri" w:cs="Times New Roman"/>
          <w:b/>
        </w:rPr>
        <w:t>/</w:t>
      </w:r>
      <w:r w:rsidR="00CB0A48">
        <w:rPr>
          <w:rFonts w:ascii="Calibri" w:eastAsia="Calibri" w:hAnsi="Calibri" w:cs="Times New Roman"/>
          <w:b/>
        </w:rPr>
        <w:t>3223280</w:t>
      </w:r>
      <w:r w:rsidR="00945F83">
        <w:rPr>
          <w:rFonts w:ascii="Calibri" w:eastAsia="Calibri" w:hAnsi="Calibri" w:cs="Times New Roman"/>
          <w:b/>
        </w:rPr>
        <w:t>074</w:t>
      </w:r>
      <w:r w:rsidR="00682B0D">
        <w:rPr>
          <w:rFonts w:ascii="Calibri" w:eastAsia="Calibri" w:hAnsi="Calibri" w:cs="Times New Roman"/>
          <w:b/>
        </w:rPr>
        <w:t>/</w:t>
      </w:r>
      <w:r w:rsidR="00945F83">
        <w:rPr>
          <w:rFonts w:ascii="Calibri" w:eastAsia="Calibri" w:hAnsi="Calibri" w:cs="Times New Roman"/>
          <w:b/>
        </w:rPr>
        <w:t>3227881459</w:t>
      </w:r>
      <w:r>
        <w:rPr>
          <w:rFonts w:ascii="Calibri" w:eastAsia="Calibri" w:hAnsi="Calibri" w:cs="Times New Roman"/>
          <w:b/>
        </w:rPr>
        <w:t xml:space="preserve"> /</w:t>
      </w:r>
      <w:r w:rsidR="00A5655F">
        <w:rPr>
          <w:rFonts w:ascii="Calibri" w:eastAsia="Calibri" w:hAnsi="Calibri" w:cs="Times New Roman"/>
          <w:b/>
        </w:rPr>
        <w:t>5924806</w:t>
      </w:r>
    </w:p>
    <w:p w:rsidR="00D36129" w:rsidRDefault="00D36129" w:rsidP="0024525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D36129">
        <w:rPr>
          <w:rFonts w:ascii="Calibri" w:eastAsia="Calibri" w:hAnsi="Calibri" w:cs="Times New Roman"/>
          <w:b/>
        </w:rPr>
        <w:t xml:space="preserve">Correo: </w:t>
      </w:r>
      <w:hyperlink r:id="rId13" w:history="1">
        <w:r w:rsidR="00245257" w:rsidRPr="00C65744">
          <w:rPr>
            <w:rStyle w:val="Hipervnculo"/>
            <w:rFonts w:ascii="Calibri" w:eastAsia="Calibri" w:hAnsi="Calibri" w:cs="Times New Roman"/>
            <w:b/>
          </w:rPr>
          <w:t>reservaomaguaeco@gmail.com</w:t>
        </w:r>
      </w:hyperlink>
    </w:p>
    <w:p w:rsidR="00245257" w:rsidRPr="00D36129" w:rsidRDefault="00C910DF" w:rsidP="0024525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“</w:t>
      </w:r>
      <w:r w:rsidR="00245257">
        <w:rPr>
          <w:rFonts w:ascii="Calibri" w:eastAsia="Calibri" w:hAnsi="Calibri" w:cs="Times New Roman"/>
          <w:b/>
        </w:rPr>
        <w:t>Ecoturismo Comunita</w:t>
      </w:r>
      <w:r>
        <w:rPr>
          <w:rFonts w:ascii="Calibri" w:eastAsia="Calibri" w:hAnsi="Calibri" w:cs="Times New Roman"/>
          <w:b/>
        </w:rPr>
        <w:t>rio la gente de la conservación”</w:t>
      </w:r>
    </w:p>
    <w:p w:rsidR="00A26015" w:rsidRDefault="00A26015"/>
    <w:sectPr w:rsidR="00A2601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7C" w:rsidRDefault="00E9057C" w:rsidP="00B40A09">
      <w:pPr>
        <w:spacing w:after="0" w:line="240" w:lineRule="auto"/>
      </w:pPr>
      <w:r>
        <w:separator/>
      </w:r>
    </w:p>
  </w:endnote>
  <w:endnote w:type="continuationSeparator" w:id="0">
    <w:p w:rsidR="00E9057C" w:rsidRDefault="00E9057C" w:rsidP="00B4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7C" w:rsidRDefault="00E9057C" w:rsidP="00B40A09">
      <w:pPr>
        <w:spacing w:after="0" w:line="240" w:lineRule="auto"/>
      </w:pPr>
      <w:r>
        <w:separator/>
      </w:r>
    </w:p>
  </w:footnote>
  <w:footnote w:type="continuationSeparator" w:id="0">
    <w:p w:rsidR="00E9057C" w:rsidRDefault="00E9057C" w:rsidP="00B4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09" w:rsidRDefault="00B40A09" w:rsidP="00B40A09">
    <w:pPr>
      <w:pStyle w:val="Sinespaciado"/>
      <w:jc w:val="center"/>
      <w:rPr>
        <w:rFonts w:ascii="Broadway" w:hAnsi="Broadway"/>
        <w:b/>
      </w:rPr>
    </w:pPr>
    <w:r>
      <w:rPr>
        <w:rFonts w:ascii="Broadway" w:hAnsi="Broadway"/>
        <w:b/>
      </w:rPr>
      <w:t>PROGRAMA FULL DAY COMUNIDAD DE MOCAGUA</w:t>
    </w:r>
  </w:p>
  <w:p w:rsidR="00B40A09" w:rsidRDefault="00B40A09" w:rsidP="00B40A09">
    <w:pPr>
      <w:pStyle w:val="Sinespaciado"/>
      <w:jc w:val="center"/>
      <w:rPr>
        <w:rFonts w:ascii="Broadway" w:hAnsi="Broadway"/>
        <w:b/>
      </w:rPr>
    </w:pPr>
    <w:r>
      <w:rPr>
        <w:rFonts w:ascii="Broadway" w:hAnsi="Broadway"/>
        <w:b/>
      </w:rPr>
      <w:t>“Tierra de Cazadores y Pescadores”</w:t>
    </w:r>
  </w:p>
  <w:p w:rsidR="006B4A88" w:rsidRDefault="006B4A88" w:rsidP="00B40A09">
    <w:pPr>
      <w:pStyle w:val="Sinespaciado"/>
      <w:jc w:val="center"/>
      <w:rPr>
        <w:rFonts w:ascii="Broadway" w:hAnsi="Broadway"/>
        <w:b/>
      </w:rPr>
    </w:pPr>
    <w:r>
      <w:rPr>
        <w:rFonts w:ascii="Broadway" w:hAnsi="Broadway"/>
        <w:b/>
      </w:rPr>
      <w:t>Experiencia, Rio, y Cultura</w:t>
    </w:r>
  </w:p>
  <w:p w:rsidR="00B40A09" w:rsidRDefault="00B40A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2618"/>
    <w:multiLevelType w:val="hybridMultilevel"/>
    <w:tmpl w:val="3E024A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43"/>
    <w:rsid w:val="00014100"/>
    <w:rsid w:val="00060DAA"/>
    <w:rsid w:val="000B0150"/>
    <w:rsid w:val="00142441"/>
    <w:rsid w:val="001D62B0"/>
    <w:rsid w:val="00224380"/>
    <w:rsid w:val="00237A64"/>
    <w:rsid w:val="00245257"/>
    <w:rsid w:val="002C01C2"/>
    <w:rsid w:val="003261B8"/>
    <w:rsid w:val="00344FB6"/>
    <w:rsid w:val="003A16CA"/>
    <w:rsid w:val="004943FF"/>
    <w:rsid w:val="004B492E"/>
    <w:rsid w:val="00506993"/>
    <w:rsid w:val="0054029C"/>
    <w:rsid w:val="006767BE"/>
    <w:rsid w:val="00682B0D"/>
    <w:rsid w:val="006A2C1B"/>
    <w:rsid w:val="006B4A88"/>
    <w:rsid w:val="006D436C"/>
    <w:rsid w:val="00736A43"/>
    <w:rsid w:val="007502E1"/>
    <w:rsid w:val="00770ED0"/>
    <w:rsid w:val="007902A1"/>
    <w:rsid w:val="008F53BF"/>
    <w:rsid w:val="00945F83"/>
    <w:rsid w:val="00972E27"/>
    <w:rsid w:val="009F015F"/>
    <w:rsid w:val="00A26015"/>
    <w:rsid w:val="00A5655F"/>
    <w:rsid w:val="00A92C8B"/>
    <w:rsid w:val="00AD0255"/>
    <w:rsid w:val="00AD3E04"/>
    <w:rsid w:val="00B40A09"/>
    <w:rsid w:val="00BA6A7D"/>
    <w:rsid w:val="00BF32BD"/>
    <w:rsid w:val="00C44B20"/>
    <w:rsid w:val="00C910DF"/>
    <w:rsid w:val="00CB0A48"/>
    <w:rsid w:val="00CE3E22"/>
    <w:rsid w:val="00CF5D02"/>
    <w:rsid w:val="00D36129"/>
    <w:rsid w:val="00E9057C"/>
    <w:rsid w:val="00EE7993"/>
    <w:rsid w:val="00EF4CFC"/>
    <w:rsid w:val="00F2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FBFE94-B1BB-4C72-8ADC-F6014C3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A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0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A09"/>
  </w:style>
  <w:style w:type="paragraph" w:styleId="Piedepgina">
    <w:name w:val="footer"/>
    <w:basedOn w:val="Normal"/>
    <w:link w:val="PiedepginaCar"/>
    <w:uiPriority w:val="99"/>
    <w:unhideWhenUsed/>
    <w:rsid w:val="00B40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A09"/>
  </w:style>
  <w:style w:type="paragraph" w:styleId="Sinespaciado">
    <w:name w:val="No Spacing"/>
    <w:uiPriority w:val="1"/>
    <w:qFormat/>
    <w:rsid w:val="00B40A09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6D43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D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45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servaomaguaec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CENTEL1</dc:creator>
  <cp:lastModifiedBy>Auto Logon</cp:lastModifiedBy>
  <cp:revision>13</cp:revision>
  <cp:lastPrinted>2019-04-22T16:10:00Z</cp:lastPrinted>
  <dcterms:created xsi:type="dcterms:W3CDTF">2019-04-15T16:23:00Z</dcterms:created>
  <dcterms:modified xsi:type="dcterms:W3CDTF">2019-05-02T19:01:00Z</dcterms:modified>
</cp:coreProperties>
</file>